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5" w:rsidRPr="00FF7E6A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FF7E6A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FF7E6A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Φακ.: 9.41.002.1 / </w:t>
      </w:r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FF7E6A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0C672A"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Φεβρουά</w:t>
      </w:r>
      <w:r w:rsidR="008D7DAC"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ριο του 2015</w:t>
      </w:r>
    </w:p>
    <w:p w:rsidR="00C57A55" w:rsidRPr="00FF7E6A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FF7E6A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FF7E6A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186,302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FF7E6A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,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>486</w:t>
      </w:r>
      <w:r w:rsidR="00286F63" w:rsidRPr="00FF7E6A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6463CF" w:rsidRPr="00FF7E6A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9A08E6" w:rsidRPr="00FF7E6A">
        <w:rPr>
          <w:rFonts w:ascii="Calibri" w:hAnsi="Calibri" w:cs="Calibri"/>
          <w:spacing w:val="4"/>
          <w:sz w:val="22"/>
          <w:szCs w:val="22"/>
          <w:lang w:val="el-GR"/>
        </w:rPr>
        <w:t>14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6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άτομα ή 1</w:t>
      </w:r>
      <w:r w:rsidR="006463CF" w:rsidRPr="00FF7E6A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3F0E8B" w:rsidRPr="00FF7E6A">
        <w:rPr>
          <w:rFonts w:ascii="Calibri" w:hAnsi="Calibri" w:cs="Calibri"/>
          <w:sz w:val="22"/>
          <w:szCs w:val="22"/>
          <w:lang w:val="el-GR"/>
        </w:rPr>
        <w:t>210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>8</w:t>
      </w:r>
      <w:r w:rsidRPr="00FF7E6A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F0E8B" w:rsidRPr="00FF7E6A">
        <w:rPr>
          <w:rFonts w:ascii="Calibri" w:hAnsi="Calibri" w:cs="Calibri"/>
          <w:sz w:val="22"/>
          <w:szCs w:val="22"/>
          <w:lang w:val="el-GR"/>
        </w:rPr>
        <w:t>256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3F0E8B" w:rsidRPr="00FF7E6A">
        <w:rPr>
          <w:rFonts w:ascii="Calibri" w:hAnsi="Calibri" w:cs="Calibri"/>
          <w:sz w:val="22"/>
          <w:szCs w:val="22"/>
          <w:lang w:val="el-GR"/>
        </w:rPr>
        <w:t>7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96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 άτομα)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FF7E6A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7D3EFD" w:rsidRPr="00FF7E6A">
        <w:rPr>
          <w:rFonts w:ascii="Calibri" w:hAnsi="Calibri" w:cs="Calibri"/>
          <w:sz w:val="22"/>
          <w:szCs w:val="22"/>
          <w:lang w:val="el-GR"/>
        </w:rPr>
        <w:t>216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FF7E6A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7D3EFD" w:rsidRPr="00FF7E6A">
        <w:rPr>
          <w:rFonts w:ascii="Calibri" w:hAnsi="Calibri" w:cs="Calibri"/>
          <w:sz w:val="22"/>
          <w:szCs w:val="22"/>
          <w:lang w:val="el-GR"/>
        </w:rPr>
        <w:t>525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</w:t>
      </w:r>
      <w:r w:rsidR="0045462C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στον τομέα της δημόσιας διοίκησης (40 άτομα) και στους νεοεισερχόμενους (38 άτομα), ενώ αύξηση παρουσιάστηκε κυρίως, στο εμπόριο (62 άτομα), </w:t>
      </w:r>
      <w:r w:rsidR="002C7843" w:rsidRPr="00FF7E6A">
        <w:rPr>
          <w:rFonts w:ascii="Calibri" w:hAnsi="Calibri" w:cs="Calibri"/>
          <w:spacing w:val="4"/>
          <w:sz w:val="22"/>
          <w:szCs w:val="22"/>
          <w:lang w:val="el-GR"/>
        </w:rPr>
        <w:t>στις κατασκευέ</w:t>
      </w:r>
      <w:r w:rsidR="000908F0" w:rsidRPr="00FF7E6A">
        <w:rPr>
          <w:rFonts w:ascii="Calibri" w:hAnsi="Calibri" w:cs="Calibri"/>
          <w:spacing w:val="4"/>
          <w:sz w:val="22"/>
          <w:szCs w:val="22"/>
          <w:lang w:val="el-GR"/>
        </w:rPr>
        <w:t>ς</w:t>
      </w:r>
      <w:r w:rsidR="00ED0D9A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45462C" w:rsidRPr="00FF7E6A">
        <w:rPr>
          <w:rFonts w:ascii="Calibri" w:hAnsi="Calibri" w:cs="Calibri"/>
          <w:spacing w:val="4"/>
          <w:sz w:val="22"/>
          <w:szCs w:val="22"/>
          <w:lang w:val="el-GR"/>
        </w:rPr>
        <w:t>51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45462C" w:rsidRPr="00FF7E6A">
        <w:rPr>
          <w:rFonts w:ascii="Calibri" w:hAnsi="Calibri" w:cs="Calibri"/>
          <w:spacing w:val="4"/>
          <w:sz w:val="22"/>
          <w:szCs w:val="22"/>
          <w:lang w:val="el-GR"/>
        </w:rPr>
        <w:t>και στα ξενοδοχεία (34 άτομα)</w:t>
      </w:r>
      <w:r w:rsidR="00A81DB8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131,616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12</w:t>
      </w:r>
      <w:r w:rsidRPr="00FF7E6A">
        <w:rPr>
          <w:rFonts w:ascii="Calibri" w:hAnsi="Calibri" w:cs="Calibri"/>
          <w:sz w:val="22"/>
          <w:szCs w:val="22"/>
          <w:lang w:val="el-GR"/>
        </w:rPr>
        <w:t>,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6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>67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1,078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57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8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2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182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0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50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4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="002A1E2D" w:rsidRPr="00FF7E6A">
        <w:rPr>
          <w:rFonts w:ascii="Calibri" w:hAnsi="Calibri" w:cs="Calibri"/>
          <w:sz w:val="22"/>
          <w:szCs w:val="22"/>
          <w:lang w:val="el-GR"/>
        </w:rPr>
        <w:t>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7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0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6</w:t>
      </w:r>
      <w:r w:rsidR="000729C0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FF7E6A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274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893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 οικονομικής δραστηριότητας παρουσιάστηκε κυρίως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στα ξενοδοχεία (28 άτομα), ενώ αύξηση παρουσιάστηκε κυρίως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στο εμπόριο (41 άτομα), </w:t>
      </w:r>
      <w:r w:rsidR="00E12A0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στις 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>υπηρεσίες (32 άτομα) και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D457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</w:t>
      </w:r>
      <w:r w:rsidR="00687E60" w:rsidRPr="00FF7E6A"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 (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>29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383E7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61,042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 w:rsidRPr="00FF7E6A">
        <w:rPr>
          <w:rFonts w:ascii="Calibri" w:hAnsi="Calibri" w:cs="Calibri"/>
          <w:sz w:val="22"/>
          <w:szCs w:val="22"/>
          <w:lang w:val="el-GR"/>
        </w:rPr>
        <w:t>9</w:t>
      </w:r>
      <w:r w:rsidRPr="00FF7E6A">
        <w:rPr>
          <w:rFonts w:ascii="Calibri" w:hAnsi="Calibri" w:cs="Calibri"/>
          <w:sz w:val="22"/>
          <w:szCs w:val="22"/>
          <w:lang w:val="el-GR"/>
        </w:rPr>
        <w:t>,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865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F96562" w:rsidRPr="00FF7E6A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9</w:t>
      </w:r>
      <w:r w:rsidR="00F96562" w:rsidRPr="00FF7E6A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9F3620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FF7E6A">
        <w:rPr>
          <w:rFonts w:ascii="Calibri" w:hAnsi="Calibri" w:cs="Calibri"/>
          <w:sz w:val="22"/>
          <w:szCs w:val="22"/>
          <w:lang w:val="el-GR"/>
        </w:rPr>
        <w:t>Ανέργων Ευρωπαίων Πολιτών: 1,</w:t>
      </w:r>
      <w:r w:rsidR="00F96562" w:rsidRPr="00FF7E6A">
        <w:rPr>
          <w:rFonts w:ascii="Calibri" w:hAnsi="Calibri" w:cs="Calibri"/>
          <w:sz w:val="22"/>
          <w:szCs w:val="22"/>
          <w:lang w:val="el-GR"/>
        </w:rPr>
        <w:t>3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29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F96562" w:rsidRPr="00FF7E6A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 xml:space="preserve">αύξηση κατά </w:t>
      </w:r>
      <w:r w:rsidR="00F96562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5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F96562" w:rsidRPr="00FF7E6A">
        <w:rPr>
          <w:rFonts w:ascii="Calibri" w:hAnsi="Calibri" w:cs="Calibri"/>
          <w:sz w:val="22"/>
          <w:szCs w:val="22"/>
          <w:lang w:val="el-GR"/>
        </w:rPr>
        <w:t>1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Άνεργων Αλλοδαπών: 3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85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%  (μείωση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26</w:t>
      </w:r>
      <w:r w:rsidR="00176257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6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176257" w:rsidRPr="00FF7E6A">
        <w:rPr>
          <w:rFonts w:ascii="Calibri" w:hAnsi="Calibri" w:cs="Calibri"/>
          <w:sz w:val="22"/>
          <w:szCs w:val="22"/>
          <w:lang w:val="el-GR"/>
        </w:rPr>
        <w:t xml:space="preserve"> 1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18</w:t>
      </w:r>
    </w:p>
    <w:p w:rsidR="00C57A55" w:rsidRPr="00FF7E6A" w:rsidRDefault="00176257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Ενεργές κενές θέσεις:  6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51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 xml:space="preserve">Μείωση της ανεργίας κατά τομέα οικονομικής δραστηριότητας παρουσιάστηκε κυρίως </w:t>
      </w:r>
      <w:r w:rsidR="00BB729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στα ξενοδοχεία (21 άτομα),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ενώ αύξηση παρουσιάστηκε κυρί</w:t>
      </w:r>
      <w:r w:rsidR="00810C86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ως στον τομέα </w:t>
      </w:r>
      <w:r w:rsidR="00176257" w:rsidRPr="00FF7E6A"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</w:t>
      </w:r>
      <w:r w:rsidR="00810C86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BB729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24 άτομα)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25,802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4D01FA" w:rsidRPr="00FF7E6A">
        <w:rPr>
          <w:rFonts w:ascii="Calibri" w:hAnsi="Calibri" w:cs="Calibri"/>
          <w:sz w:val="22"/>
          <w:szCs w:val="22"/>
          <w:lang w:val="el-GR"/>
        </w:rPr>
        <w:t>6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,</w:t>
      </w:r>
      <w:r w:rsidR="004D01FA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49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FD5892" w:rsidRPr="00FF7E6A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4D01FA" w:rsidRPr="00FF7E6A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>6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 Ευρωπαίων Πολιτών: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2,014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 w:rsidRPr="00FF7E6A">
        <w:rPr>
          <w:rFonts w:ascii="Calibri" w:hAnsi="Calibri" w:cs="Calibri"/>
          <w:sz w:val="22"/>
          <w:szCs w:val="22"/>
          <w:lang w:val="el-GR"/>
        </w:rPr>
        <w:t>3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αύξηση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 xml:space="preserve">214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12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4D01FA" w:rsidRPr="00FF7E6A">
        <w:rPr>
          <w:rFonts w:ascii="Calibri" w:hAnsi="Calibri" w:cs="Calibri"/>
          <w:sz w:val="22"/>
          <w:szCs w:val="22"/>
          <w:lang w:val="el-GR"/>
        </w:rPr>
        <w:t>21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 xml:space="preserve">1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ση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16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8</w:t>
      </w:r>
      <w:r w:rsidR="009F271D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</w:t>
      </w:r>
      <w:r w:rsidR="004D01FA" w:rsidRPr="00FF7E6A">
        <w:rPr>
          <w:rFonts w:ascii="Calibri" w:hAnsi="Calibri" w:cs="Calibri"/>
          <w:sz w:val="22"/>
          <w:szCs w:val="22"/>
          <w:lang w:val="el-GR"/>
        </w:rPr>
        <w:t>νωστοποιηθείσες κενές θέσεις: 1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43</w:t>
      </w:r>
    </w:p>
    <w:p w:rsidR="00C57A55" w:rsidRPr="00FF7E6A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355</w:t>
      </w:r>
    </w:p>
    <w:p w:rsidR="00C57A55" w:rsidRPr="00FF7E6A" w:rsidRDefault="00E826AD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Α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ύξηση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της ανεργίας κατά τομέα οικονομικής δραστηριότητας παρουσιάστηκε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κυρίως στον  τομέα του εμπορίου (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11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41,176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 w:rsidRPr="00FF7E6A">
        <w:rPr>
          <w:rFonts w:ascii="Calibri" w:hAnsi="Calibri" w:cs="Calibri"/>
          <w:sz w:val="22"/>
          <w:szCs w:val="22"/>
          <w:lang w:val="el-GR"/>
        </w:rPr>
        <w:t>6,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973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9F3620" w:rsidRPr="00FF7E6A"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FD5892" w:rsidRPr="00FF7E6A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04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>5</w:t>
      </w:r>
      <w:r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>,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609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23</w:t>
      </w:r>
      <w:r w:rsidR="00950329" w:rsidRPr="00FF7E6A">
        <w:rPr>
          <w:rFonts w:ascii="Calibri" w:hAnsi="Calibri" w:cs="Calibri"/>
          <w:sz w:val="22"/>
          <w:szCs w:val="22"/>
          <w:lang w:val="el-GR"/>
        </w:rPr>
        <w:t>% (αύξη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ση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93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6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74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>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27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582688"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FF7E6A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100</w:t>
      </w:r>
    </w:p>
    <w:p w:rsidR="00C57A55" w:rsidRPr="00FF7E6A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κενές θέσεις: 5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47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των ξενοδοχείων (20 άτομα),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ενώ αύξηση παρουσιάστηκε κυρίως </w:t>
      </w:r>
      <w:r w:rsidR="00F625CD" w:rsidRPr="00FF7E6A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C502D4" w:rsidRPr="00FF7E6A">
        <w:rPr>
          <w:rFonts w:ascii="Calibri" w:hAnsi="Calibri" w:cs="Calibri"/>
          <w:spacing w:val="4"/>
          <w:sz w:val="22"/>
          <w:szCs w:val="22"/>
          <w:lang w:val="el-GR"/>
        </w:rPr>
        <w:t>ο εμπ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>όριο</w:t>
      </w:r>
      <w:r w:rsidR="00BC77E3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>30</w:t>
      </w:r>
      <w:r w:rsidR="00C502D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>στους νεοεισερχομένους</w:t>
      </w:r>
      <w:r w:rsidR="00F625C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>28</w:t>
      </w:r>
      <w:r w:rsidR="00F625C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FF7E6A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FF7E6A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FF7E6A" w:rsidRDefault="004E5CE3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>Μάρτιος</w:t>
      </w:r>
      <w:r w:rsidR="0094528B"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B48DD"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bookmarkStart w:id="0" w:name="_GoBack"/>
      <w:bookmarkEnd w:id="0"/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FF7E6A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FF7E6A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FF7E6A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FF7E6A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r w:rsidRPr="00FF7E6A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fldSimple w:instr=" FILENAME  \p  \* MERGEFORMAT ">
        <w:r w:rsidR="004E5CE3" w:rsidRPr="00FF7E6A">
          <w:rPr>
            <w:rFonts w:ascii="Calibri" w:hAnsi="Calibri" w:cs="Calibri"/>
            <w:b w:val="0"/>
            <w:bCs w:val="0"/>
            <w:noProof/>
            <w:color w:val="auto"/>
            <w:spacing w:val="4"/>
            <w:sz w:val="16"/>
            <w:szCs w:val="16"/>
          </w:rPr>
          <w:t>C:\Documents and Settings\MOF\My Documents\M Rigou\Ανεργία - Μηνιαίες Εκθέσεις\2015 registered unemployed-monthly reports\February 2015\Reports\Παράρτημα ΙΙ report.docx</w:t>
        </w:r>
      </w:fldSimple>
    </w:p>
    <w:sectPr w:rsidR="00C57A55" w:rsidRPr="00FF7E6A" w:rsidSect="00D5754C">
      <w:footerReference w:type="default" r:id="rId8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31" w:rsidRDefault="00F20231" w:rsidP="00EF7B0A">
      <w:r>
        <w:separator/>
      </w:r>
    </w:p>
  </w:endnote>
  <w:endnote w:type="continuationSeparator" w:id="1">
    <w:p w:rsidR="00F20231" w:rsidRDefault="00F20231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31" w:rsidRDefault="00F20231" w:rsidP="00EF7B0A">
      <w:r>
        <w:separator/>
      </w:r>
    </w:p>
  </w:footnote>
  <w:footnote w:type="continuationSeparator" w:id="1">
    <w:p w:rsidR="00F20231" w:rsidRDefault="00F20231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08F0"/>
    <w:rsid w:val="00091AFB"/>
    <w:rsid w:val="000926D0"/>
    <w:rsid w:val="000933ED"/>
    <w:rsid w:val="0009360E"/>
    <w:rsid w:val="00093DF5"/>
    <w:rsid w:val="00093FD2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D7DAC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47D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7E17-918B-47CB-93BB-3F24287A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 </cp:lastModifiedBy>
  <cp:revision>48</cp:revision>
  <cp:lastPrinted>2015-03-27T10:03:00Z</cp:lastPrinted>
  <dcterms:created xsi:type="dcterms:W3CDTF">2014-12-18T07:29:00Z</dcterms:created>
  <dcterms:modified xsi:type="dcterms:W3CDTF">2015-03-27T10:04:00Z</dcterms:modified>
</cp:coreProperties>
</file>